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F9" w:rsidRDefault="00670CA2" w:rsidP="00C911B8">
      <w:pPr>
        <w:spacing w:after="120" w:line="360" w:lineRule="auto"/>
        <w:ind w:left="284" w:right="902"/>
      </w:pPr>
      <w:r>
        <w:t xml:space="preserve">Name: </w:t>
      </w:r>
      <w:r w:rsidR="00907635">
        <w:t>Priv.-Doz. Dr. Michael Tritthart</w:t>
      </w:r>
    </w:p>
    <w:p w:rsidR="00670CA2" w:rsidRDefault="00670CA2" w:rsidP="00C911B8">
      <w:pPr>
        <w:spacing w:after="120" w:line="360" w:lineRule="auto"/>
        <w:ind w:left="284" w:right="902"/>
      </w:pPr>
      <w:r>
        <w:t xml:space="preserve">E-mail: </w:t>
      </w:r>
      <w:r w:rsidR="00907635">
        <w:t>michael.tritthart@boku.ac.at</w:t>
      </w:r>
    </w:p>
    <w:p w:rsidR="00670CA2" w:rsidRDefault="00670CA2" w:rsidP="00C911B8">
      <w:pPr>
        <w:spacing w:after="120" w:line="360" w:lineRule="auto"/>
        <w:ind w:left="284" w:right="902"/>
      </w:pPr>
      <w:r>
        <w:t xml:space="preserve">Institution: </w:t>
      </w:r>
      <w:r w:rsidR="00907635">
        <w:t>BOKU – University of Natural Resources and Life Sciences, Vienna</w:t>
      </w:r>
    </w:p>
    <w:tbl>
      <w:tblPr>
        <w:tblStyle w:val="Tabellenraster"/>
        <w:tblW w:w="0" w:type="auto"/>
        <w:tblInd w:w="284" w:type="dxa"/>
        <w:tblLayout w:type="fixed"/>
        <w:tblLook w:val="04A0" w:firstRow="1" w:lastRow="0" w:firstColumn="1" w:lastColumn="0" w:noHBand="0" w:noVBand="1"/>
      </w:tblPr>
      <w:tblGrid>
        <w:gridCol w:w="2801"/>
        <w:gridCol w:w="7331"/>
      </w:tblGrid>
      <w:tr w:rsidR="00670CA2" w:rsidTr="00907635">
        <w:tc>
          <w:tcPr>
            <w:tcW w:w="2801" w:type="dxa"/>
          </w:tcPr>
          <w:p w:rsidR="00670CA2" w:rsidRDefault="000D4A61" w:rsidP="00C911B8">
            <w:pPr>
              <w:spacing w:after="120" w:line="360" w:lineRule="auto"/>
              <w:ind w:right="902"/>
            </w:pPr>
            <w:r>
              <w:t>P</w:t>
            </w:r>
            <w:r w:rsidR="00670CA2">
              <w:t>hoto</w:t>
            </w:r>
          </w:p>
          <w:p w:rsidR="00670CA2" w:rsidRDefault="00907635" w:rsidP="00C911B8">
            <w:pPr>
              <w:spacing w:after="120" w:line="360" w:lineRule="auto"/>
              <w:ind w:right="902"/>
            </w:pPr>
            <w:r>
              <w:rPr>
                <w:noProof/>
                <w:lang w:val="de-AT" w:eastAsia="de-AT"/>
              </w:rPr>
              <w:drawing>
                <wp:inline distT="0" distB="0" distL="0" distR="0">
                  <wp:extent cx="1604513" cy="1784902"/>
                  <wp:effectExtent l="0" t="0" r="0" b="0"/>
                  <wp:docPr id="1" name="Grafik 1" descr="E:\Bilder\Michael\Visums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lder\Michael\Visumsfot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442" t="480" r="24462" b="9193"/>
                          <a:stretch/>
                        </pic:blipFill>
                        <pic:spPr bwMode="auto">
                          <a:xfrm>
                            <a:off x="0" y="0"/>
                            <a:ext cx="1612844" cy="17941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31" w:type="dxa"/>
          </w:tcPr>
          <w:p w:rsidR="00670CA2" w:rsidRDefault="00670CA2" w:rsidP="00C911B8">
            <w:pPr>
              <w:spacing w:after="120" w:line="360" w:lineRule="auto"/>
              <w:ind w:right="902"/>
            </w:pPr>
            <w:r>
              <w:t>Short biography (150 words)</w:t>
            </w:r>
          </w:p>
          <w:p w:rsidR="003C1AF9" w:rsidRDefault="003C1AF9" w:rsidP="00287622">
            <w:pPr>
              <w:spacing w:after="120" w:line="360" w:lineRule="auto"/>
              <w:ind w:right="902"/>
            </w:pPr>
            <w:r w:rsidRPr="003C1AF9">
              <w:t xml:space="preserve">Dr. Tritthart graduated in civil engineering (major in water and environment) at the University of Innsbruck, Austria, in the year 2000 before obtaining his doctoral degree of technical sciences at Vienna University of Technology in 2005. His doctoral thesis was the development of a novel hydrodynamic model for flood processes in rivers. Since October 2005 he is affiliated as a Senior Scientist with BOKU University where he achieved the habilitation (lecture qualification, venia docendi) for the scientific subject of river engineering and hydroinformatics in 2013. </w:t>
            </w:r>
            <w:r>
              <w:t>His</w:t>
            </w:r>
            <w:r w:rsidRPr="003C1AF9">
              <w:t xml:space="preserve"> expertise </w:t>
            </w:r>
            <w:r>
              <w:t xml:space="preserve">is </w:t>
            </w:r>
            <w:r w:rsidRPr="003C1AF9">
              <w:t>in hydrodynamic river modelling, river engineering, flood processes and sediment transport. He heads the computational river modelling group at BOKU</w:t>
            </w:r>
            <w:r w:rsidR="00287622">
              <w:t>.</w:t>
            </w:r>
            <w:r w:rsidRPr="003C1AF9">
              <w:t xml:space="preserve"> Since 2013 he is also a member of the Senate of BOKU, </w:t>
            </w:r>
            <w:r w:rsidR="00287622">
              <w:t>thereby</w:t>
            </w:r>
            <w:r>
              <w:t xml:space="preserve"> involved in</w:t>
            </w:r>
            <w:r w:rsidRPr="003C1AF9">
              <w:t xml:space="preserve"> strategic and operative curriculum development. </w:t>
            </w:r>
            <w:r>
              <w:t>In 2015,</w:t>
            </w:r>
            <w:r w:rsidRPr="003C1AF9">
              <w:t xml:space="preserve"> Dr. Tritthart was elected Chair of the Committee for Education and Professional Development of the International Association of Hydro-Envir</w:t>
            </w:r>
            <w:r w:rsidR="00287622">
              <w:t>onment Engineering and Research.</w:t>
            </w:r>
          </w:p>
          <w:p w:rsidR="00214825" w:rsidRDefault="00214825" w:rsidP="00214825">
            <w:pPr>
              <w:spacing w:after="120" w:line="360" w:lineRule="auto"/>
              <w:ind w:right="902"/>
            </w:pPr>
            <w:r>
              <w:t xml:space="preserve">Within the NatRisk project </w:t>
            </w:r>
            <w:r>
              <w:t>he is WP-</w:t>
            </w:r>
            <w:r>
              <w:t xml:space="preserve">Leader of WP1, the contact person of BOKU for WP3, WP6, WP7 &amp; WP8 and supports the project partners in the remaining WPs. </w:t>
            </w:r>
            <w:r>
              <w:t>He</w:t>
            </w:r>
            <w:r>
              <w:t xml:space="preserve"> is </w:t>
            </w:r>
            <w:r>
              <w:t xml:space="preserve">also </w:t>
            </w:r>
            <w:r>
              <w:t>a member of the SC and PMC.</w:t>
            </w:r>
            <w:bookmarkStart w:id="0" w:name="_GoBack"/>
            <w:bookmarkEnd w:id="0"/>
          </w:p>
        </w:tc>
      </w:tr>
      <w:tr w:rsidR="00670CA2" w:rsidTr="00907635">
        <w:trPr>
          <w:trHeight w:val="4168"/>
        </w:trPr>
        <w:tc>
          <w:tcPr>
            <w:tcW w:w="10132" w:type="dxa"/>
            <w:gridSpan w:val="2"/>
          </w:tcPr>
          <w:p w:rsidR="00670CA2" w:rsidRPr="000D4A61" w:rsidRDefault="00670CA2" w:rsidP="00C911B8">
            <w:pPr>
              <w:spacing w:after="120" w:line="360" w:lineRule="auto"/>
              <w:ind w:right="902"/>
              <w:rPr>
                <w:lang w:val="en-GB"/>
              </w:rPr>
            </w:pPr>
            <w:r w:rsidRPr="000D4A61">
              <w:rPr>
                <w:lang w:val="en-GB"/>
              </w:rPr>
              <w:lastRenderedPageBreak/>
              <w:t>References (max. 5 relevant references)</w:t>
            </w:r>
          </w:p>
          <w:p w:rsidR="000D4A61" w:rsidRPr="000D4A61" w:rsidRDefault="00670CA2" w:rsidP="000D4A61">
            <w:pPr>
              <w:spacing w:after="120" w:line="360" w:lineRule="auto"/>
              <w:ind w:left="709" w:right="902" w:hanging="709"/>
              <w:rPr>
                <w:lang w:val="en-GB"/>
              </w:rPr>
            </w:pPr>
            <w:r w:rsidRPr="000D4A61">
              <w:rPr>
                <w:lang w:val="en-GB"/>
              </w:rPr>
              <w:t>1.</w:t>
            </w:r>
            <w:r w:rsidR="000D4A61" w:rsidRPr="000D4A61">
              <w:rPr>
                <w:rFonts w:ascii="Calibri" w:eastAsia="Times New Roman" w:hAnsi="Calibri" w:cs="Arial"/>
                <w:b/>
                <w:sz w:val="22"/>
                <w:lang w:val="en-GB" w:eastAsia="fr-BE"/>
              </w:rPr>
              <w:t xml:space="preserve"> </w:t>
            </w:r>
            <w:r w:rsidR="000D4A61" w:rsidRPr="000D4A61">
              <w:rPr>
                <w:b/>
                <w:lang w:val="en-GB"/>
              </w:rPr>
              <w:t>Tritthart</w:t>
            </w:r>
            <w:r w:rsidR="000D4A61" w:rsidRPr="000D4A61">
              <w:rPr>
                <w:lang w:val="en-GB"/>
              </w:rPr>
              <w:t xml:space="preserve">, </w:t>
            </w:r>
            <w:r w:rsidR="000D4A61" w:rsidRPr="000D4A61">
              <w:rPr>
                <w:b/>
                <w:lang w:val="en-GB"/>
              </w:rPr>
              <w:t>M</w:t>
            </w:r>
            <w:r w:rsidR="000D4A61" w:rsidRPr="000D4A61">
              <w:rPr>
                <w:lang w:val="en-GB"/>
              </w:rPr>
              <w:t xml:space="preserve">., Gutknecht, D., 2007. 3-D computation of flood processes in sharp river bends. </w:t>
            </w:r>
            <w:r w:rsidR="000D4A61" w:rsidRPr="000D4A61">
              <w:rPr>
                <w:i/>
                <w:lang w:val="en-GB"/>
              </w:rPr>
              <w:t>Water Management</w:t>
            </w:r>
            <w:r w:rsidR="000D4A61" w:rsidRPr="000D4A61">
              <w:rPr>
                <w:lang w:val="en-GB"/>
              </w:rPr>
              <w:t xml:space="preserve"> 160, 233-247.</w:t>
            </w:r>
          </w:p>
          <w:p w:rsidR="000D4A61" w:rsidRPr="000D4A61" w:rsidRDefault="00670CA2" w:rsidP="000D4A61">
            <w:pPr>
              <w:spacing w:after="120" w:line="360" w:lineRule="auto"/>
              <w:ind w:left="709" w:right="902" w:hanging="709"/>
              <w:rPr>
                <w:lang w:val="en-GB"/>
              </w:rPr>
            </w:pPr>
            <w:r w:rsidRPr="000D4A61">
              <w:rPr>
                <w:lang w:val="en-GB"/>
              </w:rPr>
              <w:t>2.</w:t>
            </w:r>
            <w:r w:rsidR="000D4A61" w:rsidRPr="000D4A61">
              <w:rPr>
                <w:b/>
                <w:lang w:val="en-GB"/>
              </w:rPr>
              <w:t xml:space="preserve"> Tritthart</w:t>
            </w:r>
            <w:r w:rsidR="000D4A61" w:rsidRPr="000D4A61">
              <w:rPr>
                <w:lang w:val="en-GB"/>
              </w:rPr>
              <w:t xml:space="preserve">, </w:t>
            </w:r>
            <w:r w:rsidR="000D4A61" w:rsidRPr="000D4A61">
              <w:rPr>
                <w:b/>
                <w:lang w:val="en-GB"/>
              </w:rPr>
              <w:t>M</w:t>
            </w:r>
            <w:r w:rsidR="000D4A61" w:rsidRPr="000D4A61">
              <w:rPr>
                <w:lang w:val="en-GB"/>
              </w:rPr>
              <w:t xml:space="preserve">., 2007. Three-dimensional numerical modelling of flow conditions in a river bend during a 100-year flood using polyhedral finite volumes. In: </w:t>
            </w:r>
            <w:proofErr w:type="spellStart"/>
            <w:r w:rsidR="000D4A61" w:rsidRPr="000D4A61">
              <w:rPr>
                <w:lang w:val="en-GB"/>
              </w:rPr>
              <w:t>Gourbesville</w:t>
            </w:r>
            <w:proofErr w:type="spellEnd"/>
            <w:r w:rsidR="000D4A61" w:rsidRPr="000D4A61">
              <w:rPr>
                <w:lang w:val="en-GB"/>
              </w:rPr>
              <w:t xml:space="preserve">, P., </w:t>
            </w:r>
            <w:proofErr w:type="spellStart"/>
            <w:r w:rsidR="000D4A61" w:rsidRPr="000D4A61">
              <w:rPr>
                <w:lang w:val="en-GB"/>
              </w:rPr>
              <w:t>Cunge</w:t>
            </w:r>
            <w:proofErr w:type="spellEnd"/>
            <w:r w:rsidR="000D4A61" w:rsidRPr="000D4A61">
              <w:rPr>
                <w:lang w:val="en-GB"/>
              </w:rPr>
              <w:t xml:space="preserve">, J., </w:t>
            </w:r>
            <w:proofErr w:type="spellStart"/>
            <w:r w:rsidR="000D4A61" w:rsidRPr="000D4A61">
              <w:rPr>
                <w:lang w:val="en-GB"/>
              </w:rPr>
              <w:t>Guinot</w:t>
            </w:r>
            <w:proofErr w:type="spellEnd"/>
            <w:r w:rsidR="000D4A61" w:rsidRPr="000D4A61">
              <w:rPr>
                <w:lang w:val="en-GB"/>
              </w:rPr>
              <w:t xml:space="preserve">, V., </w:t>
            </w:r>
            <w:proofErr w:type="spellStart"/>
            <w:r w:rsidR="000D4A61" w:rsidRPr="000D4A61">
              <w:rPr>
                <w:lang w:val="en-GB"/>
              </w:rPr>
              <w:t>Liong</w:t>
            </w:r>
            <w:proofErr w:type="spellEnd"/>
            <w:r w:rsidR="000D4A61" w:rsidRPr="000D4A61">
              <w:rPr>
                <w:lang w:val="en-GB"/>
              </w:rPr>
              <w:t xml:space="preserve">, S.Y., </w:t>
            </w:r>
            <w:proofErr w:type="spellStart"/>
            <w:r w:rsidR="000D4A61" w:rsidRPr="000D4A61">
              <w:rPr>
                <w:i/>
                <w:lang w:val="en-GB"/>
              </w:rPr>
              <w:t>Hydroinformatics</w:t>
            </w:r>
            <w:proofErr w:type="spellEnd"/>
            <w:r w:rsidR="000D4A61" w:rsidRPr="000D4A61">
              <w:rPr>
                <w:i/>
                <w:lang w:val="en-GB"/>
              </w:rPr>
              <w:t xml:space="preserve"> 2006</w:t>
            </w:r>
            <w:r w:rsidR="000D4A61" w:rsidRPr="000D4A61">
              <w:rPr>
                <w:lang w:val="en-GB"/>
              </w:rPr>
              <w:t>, vol. 3: 1611-1618; Research Publishing, Chennai, India.</w:t>
            </w:r>
          </w:p>
          <w:p w:rsidR="000D4A61" w:rsidRPr="000D4A61" w:rsidRDefault="00670CA2" w:rsidP="000D4A61">
            <w:pPr>
              <w:spacing w:after="120" w:line="360" w:lineRule="auto"/>
              <w:ind w:left="709" w:right="902" w:hanging="709"/>
              <w:rPr>
                <w:lang w:val="en-GB"/>
              </w:rPr>
            </w:pPr>
            <w:r w:rsidRPr="00214825">
              <w:rPr>
                <w:lang w:val="de-AT"/>
              </w:rPr>
              <w:t>3.</w:t>
            </w:r>
            <w:r w:rsidR="000D4A61" w:rsidRPr="00214825">
              <w:rPr>
                <w:b/>
                <w:lang w:val="de-AT"/>
              </w:rPr>
              <w:t xml:space="preserve"> Tritthart</w:t>
            </w:r>
            <w:r w:rsidR="000D4A61" w:rsidRPr="00214825">
              <w:rPr>
                <w:lang w:val="de-AT"/>
              </w:rPr>
              <w:t xml:space="preserve">, </w:t>
            </w:r>
            <w:r w:rsidR="000D4A61" w:rsidRPr="00214825">
              <w:rPr>
                <w:b/>
                <w:lang w:val="de-AT"/>
              </w:rPr>
              <w:t>M</w:t>
            </w:r>
            <w:r w:rsidR="000D4A61" w:rsidRPr="00214825">
              <w:rPr>
                <w:lang w:val="de-AT"/>
              </w:rPr>
              <w:t xml:space="preserve">., Liedermann, M., Schober, B., Habersack, H., 2011. </w:t>
            </w:r>
            <w:r w:rsidR="000D4A61" w:rsidRPr="000D4A61">
              <w:rPr>
                <w:lang w:val="en-GB"/>
              </w:rPr>
              <w:t xml:space="preserve">Non-uniformity and layering in sediment transport modelling 2: river application. </w:t>
            </w:r>
            <w:r w:rsidR="000D4A61" w:rsidRPr="000D4A61">
              <w:rPr>
                <w:i/>
                <w:lang w:val="en-GB"/>
              </w:rPr>
              <w:t>Journal of Hydraulic Research</w:t>
            </w:r>
            <w:r w:rsidR="000D4A61" w:rsidRPr="000D4A61">
              <w:rPr>
                <w:lang w:val="en-GB"/>
              </w:rPr>
              <w:t xml:space="preserve"> 49(3), 335-344.</w:t>
            </w:r>
          </w:p>
          <w:p w:rsidR="000D4A61" w:rsidRPr="000D4A61" w:rsidRDefault="00670CA2" w:rsidP="000D4A61">
            <w:pPr>
              <w:spacing w:after="120" w:line="360" w:lineRule="auto"/>
              <w:ind w:left="709" w:right="902" w:hanging="709"/>
              <w:rPr>
                <w:lang w:val="en-GB"/>
              </w:rPr>
            </w:pPr>
            <w:r w:rsidRPr="000D4A61">
              <w:rPr>
                <w:lang w:val="en-GB"/>
              </w:rPr>
              <w:t>4.</w:t>
            </w:r>
            <w:r w:rsidR="000D4A61" w:rsidRPr="000D4A61">
              <w:rPr>
                <w:lang w:val="en-GB"/>
              </w:rPr>
              <w:t xml:space="preserve"> </w:t>
            </w:r>
            <w:proofErr w:type="spellStart"/>
            <w:r w:rsidR="000D4A61" w:rsidRPr="000D4A61">
              <w:rPr>
                <w:lang w:val="en-GB"/>
              </w:rPr>
              <w:t>Politti</w:t>
            </w:r>
            <w:proofErr w:type="spellEnd"/>
            <w:r w:rsidR="000D4A61" w:rsidRPr="000D4A61">
              <w:rPr>
                <w:lang w:val="en-GB"/>
              </w:rPr>
              <w:t xml:space="preserve">, E., Egger, G., </w:t>
            </w:r>
            <w:proofErr w:type="spellStart"/>
            <w:r w:rsidR="000D4A61" w:rsidRPr="000D4A61">
              <w:rPr>
                <w:lang w:val="en-GB"/>
              </w:rPr>
              <w:t>Angermann</w:t>
            </w:r>
            <w:proofErr w:type="spellEnd"/>
            <w:r w:rsidR="000D4A61" w:rsidRPr="000D4A61">
              <w:rPr>
                <w:lang w:val="en-GB"/>
              </w:rPr>
              <w:t xml:space="preserve">, K., </w:t>
            </w:r>
            <w:proofErr w:type="spellStart"/>
            <w:r w:rsidR="000D4A61" w:rsidRPr="000D4A61">
              <w:rPr>
                <w:lang w:val="en-GB"/>
              </w:rPr>
              <w:t>Rivaes</w:t>
            </w:r>
            <w:proofErr w:type="spellEnd"/>
            <w:r w:rsidR="000D4A61" w:rsidRPr="000D4A61">
              <w:rPr>
                <w:lang w:val="en-GB"/>
              </w:rPr>
              <w:t xml:space="preserve">, R., </w:t>
            </w:r>
            <w:proofErr w:type="spellStart"/>
            <w:r w:rsidR="000D4A61" w:rsidRPr="000D4A61">
              <w:rPr>
                <w:lang w:val="en-GB"/>
              </w:rPr>
              <w:t>Blamauer</w:t>
            </w:r>
            <w:proofErr w:type="spellEnd"/>
            <w:r w:rsidR="000D4A61" w:rsidRPr="000D4A61">
              <w:rPr>
                <w:lang w:val="en-GB"/>
              </w:rPr>
              <w:t xml:space="preserve">, B., </w:t>
            </w:r>
            <w:proofErr w:type="spellStart"/>
            <w:r w:rsidR="000D4A61" w:rsidRPr="000D4A61">
              <w:rPr>
                <w:lang w:val="en-GB"/>
              </w:rPr>
              <w:t>Klosch</w:t>
            </w:r>
            <w:proofErr w:type="spellEnd"/>
            <w:r w:rsidR="000D4A61" w:rsidRPr="000D4A61">
              <w:rPr>
                <w:lang w:val="en-GB"/>
              </w:rPr>
              <w:t xml:space="preserve">, M., </w:t>
            </w:r>
            <w:r w:rsidR="000D4A61" w:rsidRPr="000D4A61">
              <w:rPr>
                <w:b/>
                <w:lang w:val="en-GB"/>
              </w:rPr>
              <w:t>Tritthart</w:t>
            </w:r>
            <w:r w:rsidR="000D4A61" w:rsidRPr="000D4A61">
              <w:rPr>
                <w:lang w:val="en-GB"/>
              </w:rPr>
              <w:t xml:space="preserve">, </w:t>
            </w:r>
            <w:r w:rsidR="000D4A61" w:rsidRPr="000D4A61">
              <w:rPr>
                <w:b/>
                <w:lang w:val="en-GB"/>
              </w:rPr>
              <w:t>M</w:t>
            </w:r>
            <w:r w:rsidR="000D4A61" w:rsidRPr="000D4A61">
              <w:rPr>
                <w:lang w:val="en-GB"/>
              </w:rPr>
              <w:t xml:space="preserve">., </w:t>
            </w:r>
            <w:proofErr w:type="spellStart"/>
            <w:r w:rsidR="000D4A61" w:rsidRPr="000D4A61">
              <w:rPr>
                <w:lang w:val="en-GB"/>
              </w:rPr>
              <w:t>Habersack</w:t>
            </w:r>
            <w:proofErr w:type="spellEnd"/>
            <w:r w:rsidR="000D4A61" w:rsidRPr="000D4A61">
              <w:rPr>
                <w:lang w:val="en-GB"/>
              </w:rPr>
              <w:t xml:space="preserve">, H., 2014. Evaluating climate change impacts on Alpine floodplain vegetation. </w:t>
            </w:r>
            <w:proofErr w:type="spellStart"/>
            <w:r w:rsidR="000D4A61" w:rsidRPr="000D4A61">
              <w:rPr>
                <w:i/>
                <w:lang w:val="en-GB"/>
              </w:rPr>
              <w:t>Hydrobiologia</w:t>
            </w:r>
            <w:proofErr w:type="spellEnd"/>
            <w:r w:rsidR="000D4A61" w:rsidRPr="000D4A61">
              <w:rPr>
                <w:lang w:val="en-GB"/>
              </w:rPr>
              <w:t xml:space="preserve"> 737(1), 225-243.</w:t>
            </w:r>
          </w:p>
          <w:p w:rsidR="00670CA2" w:rsidRDefault="00670CA2" w:rsidP="000D4A61">
            <w:pPr>
              <w:spacing w:after="120" w:line="360" w:lineRule="auto"/>
              <w:ind w:left="709" w:right="902" w:hanging="709"/>
            </w:pPr>
            <w:r w:rsidRPr="000D4A61">
              <w:rPr>
                <w:lang w:val="en-GB"/>
              </w:rPr>
              <w:t>5.</w:t>
            </w:r>
            <w:r w:rsidR="000D4A61" w:rsidRPr="000D4A61">
              <w:rPr>
                <w:b/>
                <w:lang w:val="en-GB"/>
              </w:rPr>
              <w:t xml:space="preserve"> Tritthart</w:t>
            </w:r>
            <w:r w:rsidR="000D4A61" w:rsidRPr="000D4A61">
              <w:rPr>
                <w:lang w:val="en-GB"/>
              </w:rPr>
              <w:t xml:space="preserve">, </w:t>
            </w:r>
            <w:r w:rsidR="000D4A61" w:rsidRPr="000D4A61">
              <w:rPr>
                <w:b/>
                <w:lang w:val="en-GB"/>
              </w:rPr>
              <w:t>M</w:t>
            </w:r>
            <w:r w:rsidR="000D4A61" w:rsidRPr="000D4A61">
              <w:rPr>
                <w:lang w:val="en-GB"/>
              </w:rPr>
              <w:t xml:space="preserve">., </w:t>
            </w:r>
            <w:proofErr w:type="spellStart"/>
            <w:r w:rsidR="000D4A61" w:rsidRPr="000D4A61">
              <w:rPr>
                <w:lang w:val="en-GB"/>
              </w:rPr>
              <w:t>Molkenthin</w:t>
            </w:r>
            <w:proofErr w:type="spellEnd"/>
            <w:r w:rsidR="000D4A61" w:rsidRPr="000D4A61">
              <w:rPr>
                <w:lang w:val="en-GB"/>
              </w:rPr>
              <w:t xml:space="preserve">, F., 2015. </w:t>
            </w:r>
            <w:proofErr w:type="spellStart"/>
            <w:r w:rsidR="000D4A61" w:rsidRPr="000D4A61">
              <w:rPr>
                <w:lang w:val="en-GB"/>
              </w:rPr>
              <w:t>Hydroweb</w:t>
            </w:r>
            <w:proofErr w:type="spellEnd"/>
            <w:r w:rsidR="000D4A61" w:rsidRPr="000D4A61">
              <w:rPr>
                <w:lang w:val="en-GB"/>
              </w:rPr>
              <w:t xml:space="preserve"> experience 2014. </w:t>
            </w:r>
            <w:proofErr w:type="spellStart"/>
            <w:r w:rsidR="000D4A61" w:rsidRPr="000D4A61">
              <w:rPr>
                <w:i/>
                <w:lang w:val="en-GB"/>
              </w:rPr>
              <w:t>Hydrolink</w:t>
            </w:r>
            <w:proofErr w:type="spellEnd"/>
            <w:r w:rsidR="000D4A61" w:rsidRPr="000D4A61">
              <w:rPr>
                <w:lang w:val="en-GB"/>
              </w:rPr>
              <w:t>, 1/2015: 28-28; ISSN 1388-3445.</w:t>
            </w:r>
          </w:p>
        </w:tc>
      </w:tr>
    </w:tbl>
    <w:p w:rsidR="00670CA2" w:rsidRDefault="00670CA2" w:rsidP="00C911B8">
      <w:pPr>
        <w:spacing w:after="120" w:line="360" w:lineRule="auto"/>
        <w:ind w:left="284" w:right="902"/>
      </w:pPr>
    </w:p>
    <w:p w:rsidR="00242A86" w:rsidRDefault="00242A86" w:rsidP="00242A86"/>
    <w:p w:rsidR="00242A86" w:rsidRDefault="00242A86" w:rsidP="00242A86"/>
    <w:p w:rsidR="00242A86" w:rsidRDefault="00242A86" w:rsidP="00242A86"/>
    <w:p w:rsidR="00242A86" w:rsidRDefault="00242A86" w:rsidP="00242A86"/>
    <w:p w:rsidR="00242A86" w:rsidRDefault="00242A86" w:rsidP="00242A86"/>
    <w:p w:rsidR="00242A86" w:rsidRDefault="00214825" w:rsidP="00242A86">
      <w:r>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margin-left:31.9pt;margin-top:5.2pt;width:448.8pt;height:77.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p>
    <w:p w:rsidR="00F25283" w:rsidRDefault="00F25283" w:rsidP="00242A86"/>
    <w:p w:rsidR="00F25283" w:rsidRDefault="00F25283" w:rsidP="00242A86"/>
    <w:p w:rsidR="00F25283" w:rsidRPr="00242A86" w:rsidRDefault="00F25283" w:rsidP="00242A86"/>
    <w:sectPr w:rsidR="00F25283" w:rsidRPr="00242A86" w:rsidSect="00A67DA7">
      <w:headerReference w:type="default" r:id="rId9"/>
      <w:footerReference w:type="default" r:id="rId10"/>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283" w:rsidRDefault="00A94283">
      <w:r>
        <w:separator/>
      </w:r>
    </w:p>
  </w:endnote>
  <w:endnote w:type="continuationSeparator" w:id="0">
    <w:p w:rsidR="00A94283" w:rsidRDefault="00A9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AD" w:rsidRDefault="00100EAD">
    <w:pPr>
      <w:pStyle w:val="Fuzeile"/>
      <w:jc w:val="right"/>
    </w:pPr>
  </w:p>
  <w:p w:rsidR="00F12C7C" w:rsidRDefault="00F12C7C" w:rsidP="00AE48B4">
    <w:pPr>
      <w:pStyle w:val="Fuzeile"/>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283" w:rsidRDefault="00A94283">
      <w:r>
        <w:separator/>
      </w:r>
    </w:p>
  </w:footnote>
  <w:footnote w:type="continuationSeparator" w:id="0">
    <w:p w:rsidR="00A94283" w:rsidRDefault="00A94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rsidTr="00100EAD">
      <w:tc>
        <w:tcPr>
          <w:tcW w:w="2235" w:type="dxa"/>
        </w:tcPr>
        <w:p w:rsidR="0069015C" w:rsidRDefault="00791D5E" w:rsidP="00E843F7">
          <w:pPr>
            <w:pStyle w:val="Textkrper"/>
          </w:pPr>
          <w:r>
            <w:rPr>
              <w:noProof/>
              <w:lang w:val="de-AT" w:eastAsia="de-AT"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Textkrper"/>
            <w:rPr>
              <w:rFonts w:ascii="Book Antiqua" w:hAnsi="Book Antiqua"/>
              <w:b/>
              <w:color w:val="17365D" w:themeColor="text2" w:themeShade="BF"/>
              <w:sz w:val="16"/>
              <w:szCs w:val="16"/>
              <w:shd w:val="clear" w:color="auto" w:fill="FFFFFF"/>
            </w:rPr>
          </w:pPr>
        </w:p>
        <w:p w:rsidR="0069015C" w:rsidRPr="00091566" w:rsidRDefault="0069015C" w:rsidP="00E843F7">
          <w:pPr>
            <w:pStyle w:val="Textkrper"/>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Textkrper"/>
          </w:pPr>
          <w:r>
            <w:rPr>
              <w:noProof/>
              <w:lang w:val="de-AT" w:eastAsia="de-AT"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Textkrp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D4A61"/>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14825"/>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87622"/>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1AF9"/>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635"/>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94283"/>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2A86"/>
    <w:rPr>
      <w:rFonts w:ascii="Book Antiqua" w:eastAsiaTheme="minorHAnsi" w:hAnsi="Book Antiqua" w:cstheme="minorBidi"/>
      <w:sz w:val="24"/>
      <w:szCs w:val="22"/>
      <w:lang w:val="bs-Latn-BA" w:bidi="ar-SA"/>
    </w:rPr>
  </w:style>
  <w:style w:type="paragraph" w:styleId="berschrift1">
    <w:name w:val="heading 1"/>
    <w:basedOn w:val="Heading"/>
    <w:next w:val="Textkrper"/>
    <w:qFormat/>
    <w:rsid w:val="002630F5"/>
    <w:pPr>
      <w:numPr>
        <w:numId w:val="1"/>
      </w:numPr>
      <w:outlineLvl w:val="0"/>
    </w:pPr>
    <w:rPr>
      <w:rFonts w:ascii="Thorndale" w:hAnsi="Thorndale"/>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Standard"/>
    <w:next w:val="Textkrper"/>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Textkrper">
    <w:name w:val="Body Text"/>
    <w:basedOn w:val="Standard"/>
    <w:semiHidden/>
    <w:rsid w:val="002630F5"/>
    <w:pPr>
      <w:widowControl w:val="0"/>
      <w:suppressAutoHyphens/>
    </w:pPr>
    <w:rPr>
      <w:rFonts w:ascii="Times New Roman" w:eastAsia="Times New Roman" w:hAnsi="Times New Roman" w:cs="Times New Roman"/>
      <w:szCs w:val="24"/>
      <w:lang w:val="en-US" w:bidi="he-IL"/>
    </w:rPr>
  </w:style>
  <w:style w:type="paragraph" w:styleId="Liste">
    <w:name w:val="List"/>
    <w:basedOn w:val="Textkrper"/>
    <w:semiHidden/>
    <w:rsid w:val="002630F5"/>
  </w:style>
  <w:style w:type="paragraph" w:styleId="Beschriftung">
    <w:name w:val="caption"/>
    <w:basedOn w:val="Standard"/>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Standard"/>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Standard"/>
    <w:next w:val="Textkrper"/>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Umschlagabsenderadresse">
    <w:name w:val="envelope return"/>
    <w:basedOn w:val="Standard"/>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Textkrper"/>
    <w:rsid w:val="002630F5"/>
  </w:style>
  <w:style w:type="paragraph" w:styleId="Fuzeile">
    <w:name w:val="footer"/>
    <w:basedOn w:val="Standard"/>
    <w:link w:val="FuzeileZchn"/>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Kopfzeile">
    <w:name w:val="header"/>
    <w:basedOn w:val="Standard"/>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Sprechblasentext">
    <w:name w:val="Balloon Text"/>
    <w:basedOn w:val="Standard"/>
    <w:link w:val="SprechblasentextZchn"/>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SprechblasentextZchn">
    <w:name w:val="Sprechblasentext Zchn"/>
    <w:basedOn w:val="Absatz-Standardschriftart"/>
    <w:link w:val="Sprechblasentext"/>
    <w:uiPriority w:val="99"/>
    <w:semiHidden/>
    <w:rsid w:val="00907BC5"/>
    <w:rPr>
      <w:rFonts w:ascii="Tahoma" w:hAnsi="Tahoma" w:cs="Tahoma"/>
      <w:sz w:val="16"/>
      <w:szCs w:val="16"/>
    </w:rPr>
  </w:style>
  <w:style w:type="paragraph" w:styleId="Listenabsatz">
    <w:name w:val="List Paragraph"/>
    <w:basedOn w:val="Standard"/>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ellenraster">
    <w:name w:val="Table Grid"/>
    <w:basedOn w:val="NormaleTabelle"/>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uzeileZchn">
    <w:name w:val="Fußzeile Zchn"/>
    <w:basedOn w:val="Absatz-Standardschriftart"/>
    <w:link w:val="Fuzeile"/>
    <w:uiPriority w:val="99"/>
    <w:rsid w:val="00100EA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(1).dotx</Template>
  <TotalTime>0</TotalTime>
  <Pages>2</Pages>
  <Words>331</Words>
  <Characters>2086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Michael Tritthart</cp:lastModifiedBy>
  <cp:revision>3</cp:revision>
  <cp:lastPrinted>2016-01-21T07:14:00Z</cp:lastPrinted>
  <dcterms:created xsi:type="dcterms:W3CDTF">2017-09-11T16:06:00Z</dcterms:created>
  <dcterms:modified xsi:type="dcterms:W3CDTF">2017-09-12T12:49:00Z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